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2020年</w:t>
      </w:r>
      <w:r>
        <w:rPr>
          <w:rFonts w:ascii="Arial Narrow" w:hAnsi="黑体" w:eastAsia="黑体"/>
          <w:b/>
          <w:sz w:val="36"/>
          <w:szCs w:val="36"/>
        </w:rPr>
        <w:t>全国职业院校技能大赛</w:t>
      </w:r>
    </w:p>
    <w:p>
      <w:pPr>
        <w:snapToGrid w:val="0"/>
        <w:spacing w:line="540" w:lineRule="exact"/>
        <w:jc w:val="center"/>
        <w:rPr>
          <w:rFonts w:ascii="Arial Narrow" w:hAnsi="Arial Narrow" w:eastAsia="黑体"/>
          <w:b/>
          <w:sz w:val="36"/>
          <w:szCs w:val="36"/>
        </w:rPr>
      </w:pPr>
      <w:r>
        <w:rPr>
          <w:rFonts w:ascii="Arial Narrow" w:hAnsi="黑体" w:eastAsia="黑体"/>
          <w:b/>
          <w:sz w:val="36"/>
          <w:szCs w:val="36"/>
        </w:rPr>
        <w:t>赛项申报书</w:t>
      </w:r>
    </w:p>
    <w:p>
      <w:pPr>
        <w:snapToGrid w:val="0"/>
        <w:spacing w:line="560" w:lineRule="exact"/>
        <w:rPr>
          <w:rFonts w:ascii="Arial Narrow" w:hAnsi="Arial Narrow" w:eastAsia="仿宋_GB2312"/>
          <w:sz w:val="30"/>
          <w:szCs w:val="30"/>
        </w:rPr>
      </w:pP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赛项名称：</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赛项性质：新增赛项□     已有赛项□</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赛项类别：常规赛项□     行业特色赛项□</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赛项组别：中职组</w:t>
      </w:r>
      <w:r>
        <w:rPr>
          <w:rFonts w:hint="eastAsia" w:ascii="仿宋_GB2312" w:hAnsi="Arial Narrow" w:eastAsia="仿宋_GB2312"/>
          <w:sz w:val="30"/>
          <w:szCs w:val="30"/>
        </w:rPr>
        <w:t xml:space="preserve">□       </w:t>
      </w:r>
      <w:r>
        <w:rPr>
          <w:rFonts w:ascii="仿宋_GB2312" w:hAnsi="Arial Narrow" w:eastAsia="仿宋_GB2312"/>
          <w:sz w:val="30"/>
          <w:szCs w:val="30"/>
        </w:rPr>
        <w:t>高职组</w:t>
      </w:r>
      <w:r>
        <w:rPr>
          <w:rFonts w:hint="eastAsia"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专业大类/类</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方案设计专家组组长：</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组长手机号码：</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w:t>
      </w:r>
      <w:r>
        <w:rPr>
          <w:rFonts w:ascii="仿宋_GB2312" w:hAnsi="Arial Narrow" w:eastAsia="仿宋_GB2312"/>
          <w:sz w:val="30"/>
          <w:szCs w:val="30"/>
        </w:rPr>
        <w:t>申报单位（盖章）：</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方案申报负责人：</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负责人手机号码：</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负责人电子邮箱</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方案申报单位联络人：</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联络人手机号码</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hint="eastAsia" w:ascii="仿宋_GB2312" w:hAnsi="Arial Narrow" w:eastAsia="仿宋_GB2312"/>
          <w:sz w:val="30"/>
          <w:szCs w:val="30"/>
        </w:rPr>
        <w:t>联络人电子邮箱</w:t>
      </w:r>
      <w:r>
        <w:rPr>
          <w:rFonts w:ascii="仿宋_GB2312" w:hAnsi="Arial Narrow" w:eastAsia="仿宋_GB2312"/>
          <w:sz w:val="30"/>
          <w:szCs w:val="30"/>
        </w:rPr>
        <w:t>：</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通讯地址：</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邮政编码：</w:t>
      </w:r>
    </w:p>
    <w:p>
      <w:pPr>
        <w:snapToGrid w:val="0"/>
        <w:spacing w:line="560" w:lineRule="exact"/>
        <w:ind w:firstLine="600" w:firstLineChars="200"/>
        <w:rPr>
          <w:rFonts w:ascii="仿宋_GB2312" w:hAnsi="Arial Narrow" w:eastAsia="仿宋_GB2312"/>
          <w:sz w:val="30"/>
          <w:szCs w:val="30"/>
        </w:rPr>
      </w:pPr>
      <w:r>
        <w:rPr>
          <w:rFonts w:ascii="仿宋_GB2312" w:hAnsi="Arial Narrow" w:eastAsia="仿宋_GB2312"/>
          <w:sz w:val="30"/>
          <w:szCs w:val="30"/>
        </w:rPr>
        <w:t>申报日期：</w:t>
      </w:r>
    </w:p>
    <w:p>
      <w:pPr>
        <w:snapToGrid w:val="0"/>
        <w:spacing w:line="560" w:lineRule="exact"/>
        <w:rPr>
          <w:rFonts w:ascii="Arial Narrow" w:hAnsi="Arial Narrow" w:eastAsia="仿宋_GB2312"/>
          <w:sz w:val="30"/>
          <w:szCs w:val="30"/>
        </w:rPr>
      </w:pPr>
    </w:p>
    <w:p>
      <w:pPr>
        <w:widowControl/>
        <w:jc w:val="left"/>
        <w:rPr>
          <w:rFonts w:ascii="Arial Narrow" w:hAnsi="Arial Narrow" w:eastAsia="仿宋_GB2312" w:cs="Arial"/>
          <w:sz w:val="30"/>
          <w:szCs w:val="30"/>
        </w:rPr>
        <w:sectPr>
          <w:pgSz w:w="11906" w:h="16838"/>
          <w:pgMar w:top="1440" w:right="1800" w:bottom="1440" w:left="1800" w:header="851" w:footer="992" w:gutter="0"/>
          <w:pgNumType w:fmt="decimal"/>
          <w:cols w:space="720" w:num="1"/>
          <w:docGrid w:type="lines" w:linePitch="312" w:charSpace="0"/>
        </w:sectPr>
      </w:pPr>
    </w:p>
    <w:p>
      <w:pPr>
        <w:widowControl/>
        <w:jc w:val="left"/>
        <w:rPr>
          <w:rFonts w:ascii="Arial Narrow" w:hAnsi="Arial Narrow" w:eastAsia="仿宋_GB2312" w:cs="Arial"/>
          <w:sz w:val="30"/>
          <w:szCs w:val="30"/>
        </w:rPr>
      </w:pPr>
      <w:bookmarkStart w:id="0" w:name="_GoBack"/>
      <w:bookmarkEnd w:id="0"/>
      <w:r>
        <w:rPr>
          <w:rFonts w:ascii="Arial Narrow" w:hAnsi="Arial Narrow" w:eastAsia="仿宋_GB2312" w:cs="Arial"/>
          <w:sz w:val="30"/>
          <w:szCs w:val="30"/>
        </w:rPr>
        <w:t>内容要求</w:t>
      </w:r>
      <w:r>
        <w:rPr>
          <w:rStyle w:val="11"/>
          <w:rFonts w:ascii="Arial Narrow" w:hAnsi="Arial Narrow" w:eastAsia="仿宋_GB2312"/>
          <w:sz w:val="30"/>
          <w:szCs w:val="30"/>
        </w:rPr>
        <w:footnoteReference w:id="0"/>
      </w:r>
      <w:r>
        <w:rPr>
          <w:rFonts w:ascii="Arial Narrow" w:hAnsi="Arial Narrow" w:eastAsia="仿宋_GB2312" w:cs="Arial"/>
          <w:sz w:val="30"/>
          <w:szCs w:val="30"/>
        </w:rPr>
        <w:t xml:space="preserve">：    </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2020年</w:t>
      </w:r>
      <w:r>
        <w:rPr>
          <w:rFonts w:ascii="Arial Narrow" w:hAnsi="黑体" w:eastAsia="黑体"/>
          <w:b/>
          <w:sz w:val="36"/>
          <w:szCs w:val="36"/>
        </w:rPr>
        <w:t>全国职业院校技能大赛</w:t>
      </w:r>
    </w:p>
    <w:p>
      <w:pPr>
        <w:snapToGrid w:val="0"/>
        <w:spacing w:line="540" w:lineRule="exact"/>
        <w:jc w:val="center"/>
        <w:rPr>
          <w:rFonts w:ascii="Arial Narrow" w:hAnsi="Arial Narrow" w:eastAsia="黑体"/>
          <w:b/>
          <w:sz w:val="36"/>
          <w:szCs w:val="36"/>
        </w:rPr>
      </w:pPr>
      <w:r>
        <w:rPr>
          <w:rFonts w:ascii="Arial Narrow" w:hAnsi="黑体" w:eastAsia="黑体"/>
          <w:b/>
          <w:sz w:val="36"/>
          <w:szCs w:val="36"/>
        </w:rPr>
        <w:t>赛项申报方案</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应根据比赛的内容或核心技术或技能确定赛项名称，不能以单一技能、工种名称直接命名。</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（二）压题彩照</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一张反映赛项特点的彩色照片，照片像素不少于3264×2488。</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（三）赛项归属产业类型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（四）赛项归属专业大类</w:t>
      </w:r>
      <w:r>
        <w:rPr>
          <w:rFonts w:hint="eastAsia" w:ascii="Arial Narrow" w:hAnsi="Arial Narrow" w:eastAsia="仿宋_GB2312" w:cs="Arial"/>
          <w:sz w:val="30"/>
          <w:szCs w:val="30"/>
        </w:rPr>
        <w:t>/类</w:t>
      </w:r>
    </w:p>
    <w:tbl>
      <w:tblPr>
        <w:tblStyle w:val="8"/>
        <w:tblW w:w="8472"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871"/>
        <w:gridCol w:w="1465"/>
        <w:gridCol w:w="1464"/>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7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组别</w:t>
            </w:r>
          </w:p>
        </w:tc>
        <w:tc>
          <w:tcPr>
            <w:tcW w:w="187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专业大类</w:t>
            </w:r>
          </w:p>
        </w:tc>
        <w:tc>
          <w:tcPr>
            <w:tcW w:w="14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专业类</w:t>
            </w:r>
          </w:p>
        </w:tc>
        <w:tc>
          <w:tcPr>
            <w:tcW w:w="1464"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专业代码</w:t>
            </w:r>
          </w:p>
        </w:tc>
        <w:tc>
          <w:tcPr>
            <w:tcW w:w="270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97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高职</w:t>
            </w:r>
          </w:p>
        </w:tc>
        <w:tc>
          <w:tcPr>
            <w:tcW w:w="1871" w:type="dxa"/>
            <w:vAlign w:val="center"/>
          </w:tcPr>
          <w:p>
            <w:pPr>
              <w:jc w:val="center"/>
              <w:rPr>
                <w:rFonts w:ascii="仿宋_GB2312" w:hAnsi="仿宋_GB2312" w:eastAsia="仿宋_GB2312" w:cs="仿宋_GB2312"/>
                <w:sz w:val="24"/>
                <w:szCs w:val="24"/>
              </w:rPr>
            </w:pPr>
          </w:p>
        </w:tc>
        <w:tc>
          <w:tcPr>
            <w:tcW w:w="1465" w:type="dxa"/>
            <w:vAlign w:val="center"/>
          </w:tcPr>
          <w:p>
            <w:pPr>
              <w:jc w:val="center"/>
              <w:rPr>
                <w:rFonts w:ascii="仿宋_GB2312" w:hAnsi="仿宋_GB2312" w:eastAsia="仿宋_GB2312" w:cs="仿宋_GB2312"/>
                <w:sz w:val="24"/>
                <w:szCs w:val="24"/>
              </w:rPr>
            </w:pPr>
          </w:p>
        </w:tc>
        <w:tc>
          <w:tcPr>
            <w:tcW w:w="1464" w:type="dxa"/>
            <w:vAlign w:val="center"/>
          </w:tcPr>
          <w:p>
            <w:pPr>
              <w:jc w:val="center"/>
              <w:rPr>
                <w:rFonts w:ascii="仿宋_GB2312" w:hAnsi="仿宋_GB2312" w:eastAsia="仿宋_GB2312" w:cs="仿宋_GB2312"/>
                <w:sz w:val="24"/>
                <w:szCs w:val="24"/>
              </w:rPr>
            </w:pPr>
          </w:p>
        </w:tc>
        <w:tc>
          <w:tcPr>
            <w:tcW w:w="2701" w:type="dxa"/>
            <w:vAlign w:val="center"/>
          </w:tcPr>
          <w:p>
            <w:pPr>
              <w:jc w:val="center"/>
              <w:rPr>
                <w:rFonts w:ascii="仿宋_GB2312" w:hAnsi="仿宋_GB2312" w:eastAsia="仿宋_GB2312" w:cs="仿宋_GB2312"/>
                <w:sz w:val="24"/>
                <w:szCs w:val="24"/>
              </w:rPr>
            </w:pPr>
          </w:p>
        </w:tc>
      </w:tr>
    </w:tbl>
    <w:tbl>
      <w:tblPr>
        <w:tblStyle w:val="8"/>
        <w:tblpPr w:leftFromText="180" w:rightFromText="180" w:vertAnchor="text" w:horzAnchor="page" w:tblpX="1842" w:tblpY="237"/>
        <w:tblOverlap w:val="never"/>
        <w:tblW w:w="8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073"/>
        <w:gridCol w:w="2454"/>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83" w:type="dxa"/>
            <w:vAlign w:val="center"/>
          </w:tcPr>
          <w:p>
            <w:pPr>
              <w:snapToGrid w:val="0"/>
              <w:spacing w:line="560" w:lineRule="exact"/>
              <w:jc w:val="center"/>
              <w:rPr>
                <w:rFonts w:ascii="Arial Narrow" w:hAnsi="Arial Narrow" w:eastAsia="仿宋_GB2312" w:cs="Arial"/>
                <w:sz w:val="24"/>
                <w:szCs w:val="24"/>
              </w:rPr>
            </w:pPr>
            <w:r>
              <w:rPr>
                <w:rFonts w:hint="eastAsia" w:ascii="Arial Narrow" w:hAnsi="Arial Narrow" w:eastAsia="仿宋_GB2312" w:cs="Arial"/>
                <w:sz w:val="24"/>
                <w:szCs w:val="24"/>
              </w:rPr>
              <w:t>组别</w:t>
            </w:r>
          </w:p>
        </w:tc>
        <w:tc>
          <w:tcPr>
            <w:tcW w:w="2073" w:type="dxa"/>
            <w:vAlign w:val="center"/>
          </w:tcPr>
          <w:p>
            <w:pPr>
              <w:snapToGrid w:val="0"/>
              <w:spacing w:line="560" w:lineRule="exact"/>
              <w:jc w:val="center"/>
              <w:rPr>
                <w:rFonts w:ascii="Arial Narrow" w:hAnsi="Arial Narrow" w:eastAsia="仿宋_GB2312" w:cs="Arial"/>
                <w:sz w:val="24"/>
                <w:szCs w:val="24"/>
              </w:rPr>
            </w:pPr>
            <w:r>
              <w:rPr>
                <w:rFonts w:hint="eastAsia" w:ascii="Arial Narrow" w:hAnsi="Arial Narrow" w:eastAsia="仿宋_GB2312" w:cs="Arial"/>
                <w:sz w:val="24"/>
                <w:szCs w:val="24"/>
              </w:rPr>
              <w:t>专业类</w:t>
            </w:r>
          </w:p>
        </w:tc>
        <w:tc>
          <w:tcPr>
            <w:tcW w:w="2454" w:type="dxa"/>
            <w:vAlign w:val="center"/>
          </w:tcPr>
          <w:p>
            <w:pPr>
              <w:snapToGrid w:val="0"/>
              <w:spacing w:line="560" w:lineRule="exact"/>
              <w:jc w:val="center"/>
              <w:rPr>
                <w:rFonts w:ascii="Arial Narrow" w:hAnsi="Arial Narrow" w:eastAsia="仿宋_GB2312" w:cs="Arial"/>
                <w:sz w:val="24"/>
                <w:szCs w:val="24"/>
              </w:rPr>
            </w:pPr>
            <w:r>
              <w:rPr>
                <w:rFonts w:hint="eastAsia" w:ascii="Arial Narrow" w:hAnsi="Arial Narrow" w:eastAsia="仿宋_GB2312" w:cs="Arial"/>
                <w:sz w:val="24"/>
                <w:szCs w:val="24"/>
              </w:rPr>
              <w:t>专业代码</w:t>
            </w:r>
          </w:p>
        </w:tc>
        <w:tc>
          <w:tcPr>
            <w:tcW w:w="2973" w:type="dxa"/>
            <w:vAlign w:val="center"/>
          </w:tcPr>
          <w:p>
            <w:pPr>
              <w:snapToGrid w:val="0"/>
              <w:spacing w:line="560" w:lineRule="exact"/>
              <w:jc w:val="center"/>
              <w:rPr>
                <w:rFonts w:ascii="Arial Narrow" w:hAnsi="Arial Narrow" w:eastAsia="仿宋_GB2312" w:cs="Arial"/>
                <w:sz w:val="24"/>
                <w:szCs w:val="24"/>
              </w:rPr>
            </w:pPr>
            <w:r>
              <w:rPr>
                <w:rFonts w:hint="eastAsia" w:ascii="Arial Narrow" w:hAnsi="Arial Narrow" w:eastAsia="仿宋_GB2312" w:cs="Arial"/>
                <w:sz w:val="24"/>
                <w:szCs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983" w:type="dxa"/>
            <w:vAlign w:val="center"/>
          </w:tcPr>
          <w:p>
            <w:pPr>
              <w:snapToGrid w:val="0"/>
              <w:spacing w:line="560" w:lineRule="exact"/>
              <w:jc w:val="center"/>
              <w:rPr>
                <w:rFonts w:ascii="Arial Narrow" w:hAnsi="Arial Narrow" w:eastAsia="仿宋_GB2312" w:cs="Arial"/>
                <w:sz w:val="24"/>
                <w:szCs w:val="24"/>
              </w:rPr>
            </w:pPr>
            <w:r>
              <w:rPr>
                <w:rFonts w:hint="eastAsia" w:ascii="Arial Narrow" w:hAnsi="Arial Narrow" w:eastAsia="仿宋_GB2312" w:cs="Arial"/>
                <w:sz w:val="24"/>
                <w:szCs w:val="24"/>
              </w:rPr>
              <w:t>中职</w:t>
            </w:r>
          </w:p>
        </w:tc>
        <w:tc>
          <w:tcPr>
            <w:tcW w:w="2073" w:type="dxa"/>
            <w:vAlign w:val="center"/>
          </w:tcPr>
          <w:p>
            <w:pPr>
              <w:snapToGrid w:val="0"/>
              <w:spacing w:line="560" w:lineRule="exact"/>
              <w:jc w:val="center"/>
              <w:rPr>
                <w:rFonts w:ascii="Arial Narrow" w:hAnsi="Arial Narrow" w:eastAsia="仿宋_GB2312" w:cs="Arial"/>
                <w:sz w:val="24"/>
                <w:szCs w:val="24"/>
              </w:rPr>
            </w:pPr>
          </w:p>
        </w:tc>
        <w:tc>
          <w:tcPr>
            <w:tcW w:w="2454" w:type="dxa"/>
            <w:vAlign w:val="center"/>
          </w:tcPr>
          <w:p>
            <w:pPr>
              <w:snapToGrid w:val="0"/>
              <w:spacing w:line="560" w:lineRule="exact"/>
              <w:jc w:val="center"/>
              <w:rPr>
                <w:rFonts w:ascii="Arial Narrow" w:hAnsi="Arial Narrow" w:eastAsia="仿宋_GB2312" w:cs="Arial"/>
                <w:sz w:val="24"/>
                <w:szCs w:val="24"/>
              </w:rPr>
            </w:pPr>
          </w:p>
        </w:tc>
        <w:tc>
          <w:tcPr>
            <w:tcW w:w="2973" w:type="dxa"/>
            <w:vAlign w:val="center"/>
          </w:tcPr>
          <w:p>
            <w:pPr>
              <w:snapToGrid w:val="0"/>
              <w:spacing w:line="560" w:lineRule="exact"/>
              <w:jc w:val="center"/>
              <w:rPr>
                <w:rFonts w:ascii="Arial Narrow" w:hAnsi="Arial Narrow" w:eastAsia="仿宋_GB2312" w:cs="Arial"/>
                <w:sz w:val="24"/>
                <w:szCs w:val="24"/>
              </w:rPr>
            </w:pPr>
          </w:p>
        </w:tc>
      </w:tr>
    </w:tbl>
    <w:p>
      <w:pPr>
        <w:snapToGrid w:val="0"/>
        <w:spacing w:line="440" w:lineRule="exact"/>
        <w:ind w:firstLine="402" w:firstLineChars="200"/>
        <w:rPr>
          <w:rFonts w:ascii="Arial Narrow" w:hAnsi="Arial Narrow" w:eastAsia="仿宋_GB2312" w:cs="Arial"/>
          <w:b/>
          <w:bCs/>
          <w:sz w:val="30"/>
          <w:szCs w:val="30"/>
        </w:rPr>
      </w:pPr>
      <w:r>
        <w:rPr>
          <w:rFonts w:hint="eastAsia" w:ascii="Arial Narrow" w:hAnsi="Arial Narrow" w:eastAsia="仿宋_GB2312" w:cs="Arial"/>
          <w:b/>
          <w:bCs/>
          <w:sz w:val="20"/>
          <w:szCs w:val="20"/>
        </w:rPr>
        <w:t>注：请按现行的《普通高等学校高等职业教育（专科）专业目录》和《中等职业学校专业目录》标准，明确赛项对应的专业类别、代码及名称。</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二、赛项申报专家组</w:t>
      </w:r>
    </w:p>
    <w:tbl>
      <w:tblPr>
        <w:tblStyle w:val="8"/>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993"/>
        <w:gridCol w:w="1417"/>
        <w:gridCol w:w="851"/>
        <w:gridCol w:w="128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28"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姓名</w:t>
            </w:r>
          </w:p>
        </w:tc>
        <w:tc>
          <w:tcPr>
            <w:tcW w:w="2115"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单位</w:t>
            </w:r>
          </w:p>
        </w:tc>
        <w:tc>
          <w:tcPr>
            <w:tcW w:w="993"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专业</w:t>
            </w:r>
          </w:p>
        </w:tc>
        <w:tc>
          <w:tcPr>
            <w:tcW w:w="1417"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职务/职称</w:t>
            </w:r>
          </w:p>
        </w:tc>
        <w:tc>
          <w:tcPr>
            <w:tcW w:w="851"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年龄</w:t>
            </w:r>
          </w:p>
        </w:tc>
        <w:tc>
          <w:tcPr>
            <w:tcW w:w="1284"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手机号码</w:t>
            </w:r>
          </w:p>
        </w:tc>
        <w:tc>
          <w:tcPr>
            <w:tcW w:w="1059" w:type="dxa"/>
            <w:vAlign w:val="center"/>
          </w:tcPr>
          <w:p>
            <w:pPr>
              <w:jc w:val="center"/>
              <w:rPr>
                <w:rFonts w:ascii="仿宋_GB2312" w:hAnsi="仿宋" w:eastAsia="仿宋_GB2312" w:cs="Arial"/>
                <w:bCs/>
                <w:color w:val="000000"/>
                <w:sz w:val="24"/>
                <w:szCs w:val="24"/>
              </w:rPr>
            </w:pPr>
            <w:r>
              <w:rPr>
                <w:rFonts w:ascii="仿宋_GB2312" w:hAnsi="仿宋" w:eastAsia="仿宋_GB2312" w:cs="Arial"/>
                <w:bCs/>
                <w:color w:val="00000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rPr>
                <w:rFonts w:ascii="Arial Narrow" w:hAnsi="Arial Narrow" w:cs="宋体"/>
                <w:sz w:val="24"/>
                <w:szCs w:val="24"/>
              </w:rPr>
            </w:pPr>
          </w:p>
        </w:tc>
        <w:tc>
          <w:tcPr>
            <w:tcW w:w="2115" w:type="dxa"/>
          </w:tcPr>
          <w:p>
            <w:pPr>
              <w:adjustRightInd w:val="0"/>
              <w:snapToGrid w:val="0"/>
              <w:rPr>
                <w:rFonts w:ascii="Arial Narrow" w:hAnsi="Arial Narrow" w:cs="宋体"/>
                <w:sz w:val="24"/>
                <w:szCs w:val="24"/>
              </w:rPr>
            </w:pPr>
          </w:p>
        </w:tc>
        <w:tc>
          <w:tcPr>
            <w:tcW w:w="993" w:type="dxa"/>
          </w:tcPr>
          <w:p>
            <w:pPr>
              <w:adjustRightInd w:val="0"/>
              <w:snapToGrid w:val="0"/>
              <w:rPr>
                <w:rFonts w:ascii="Arial Narrow" w:hAnsi="Arial Narrow" w:cs="宋体"/>
                <w:sz w:val="24"/>
                <w:szCs w:val="24"/>
              </w:rPr>
            </w:pPr>
          </w:p>
        </w:tc>
        <w:tc>
          <w:tcPr>
            <w:tcW w:w="1417" w:type="dxa"/>
          </w:tcPr>
          <w:p>
            <w:pPr>
              <w:adjustRightInd w:val="0"/>
              <w:snapToGrid w:val="0"/>
              <w:rPr>
                <w:rFonts w:ascii="Arial Narrow" w:hAnsi="Arial Narrow" w:cs="宋体"/>
                <w:sz w:val="24"/>
                <w:szCs w:val="24"/>
              </w:rPr>
            </w:pPr>
          </w:p>
        </w:tc>
        <w:tc>
          <w:tcPr>
            <w:tcW w:w="851" w:type="dxa"/>
          </w:tcPr>
          <w:p>
            <w:pPr>
              <w:adjustRightInd w:val="0"/>
              <w:snapToGrid w:val="0"/>
              <w:rPr>
                <w:rFonts w:ascii="Arial Narrow" w:hAnsi="Arial Narrow" w:cs="宋体"/>
                <w:sz w:val="24"/>
                <w:szCs w:val="24"/>
              </w:rPr>
            </w:pPr>
          </w:p>
        </w:tc>
        <w:tc>
          <w:tcPr>
            <w:tcW w:w="1284" w:type="dxa"/>
          </w:tcPr>
          <w:p>
            <w:pPr>
              <w:adjustRightInd w:val="0"/>
              <w:snapToGrid w:val="0"/>
              <w:rPr>
                <w:rFonts w:ascii="Arial Narrow" w:hAnsi="Arial Narrow" w:cs="宋体"/>
                <w:sz w:val="24"/>
                <w:szCs w:val="24"/>
              </w:rPr>
            </w:pPr>
          </w:p>
        </w:tc>
        <w:tc>
          <w:tcPr>
            <w:tcW w:w="1059" w:type="dxa"/>
          </w:tcPr>
          <w:p>
            <w:pPr>
              <w:adjustRightInd w:val="0"/>
              <w:snapToGrid w:val="0"/>
              <w:rPr>
                <w:rFonts w:ascii="Arial Narrow" w:hAnsi="Arial Narrow" w:cs="宋体"/>
                <w:sz w:val="24"/>
                <w:szCs w:val="24"/>
              </w:rPr>
            </w:pPr>
          </w:p>
        </w:tc>
      </w:tr>
    </w:tbl>
    <w:p>
      <w:pPr>
        <w:snapToGrid w:val="0"/>
        <w:spacing w:line="460" w:lineRule="exact"/>
        <w:ind w:firstLine="400" w:firstLineChars="200"/>
        <w:rPr>
          <w:rFonts w:ascii="Arial Narrow" w:hAnsi="Arial Narrow" w:eastAsia="仿宋_GB2312" w:cs="Arial"/>
          <w:b/>
          <w:sz w:val="30"/>
          <w:szCs w:val="30"/>
        </w:rPr>
      </w:pPr>
      <w:r>
        <w:rPr>
          <w:rFonts w:hint="eastAsia" w:ascii="Arial Narrow" w:hAnsi="Arial Narrow" w:eastAsia="仿宋_GB2312" w:cs="Arial"/>
          <w:sz w:val="20"/>
          <w:szCs w:val="20"/>
        </w:rPr>
        <w:t>注：申报中职组赛项专家组中来自中职院校的专家不少于2名；高职组赛项专家组中来自高职院校的专家不少于2名。赛项申报专家组成员须经本人同意。</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三、赛项目的</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围绕引领职业院校专业建设与课程改革，促进产教融合、校企合作、产业发展，展示职教改革成果及师生良好精神面貌等方面阐明赛项设计的目的和意义。</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四、赛项设计原则</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（一）公开、公平、公正</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（二）赛项关联专业人才需求量大或行业人才紧缺或职业院校开设专业点多</w:t>
      </w:r>
      <w:r>
        <w:rPr>
          <w:rFonts w:hint="eastAsia" w:ascii="Arial Narrow" w:hAnsi="Arial Narrow" w:eastAsia="仿宋_GB2312" w:cs="Arial"/>
          <w:sz w:val="30"/>
          <w:szCs w:val="30"/>
        </w:rPr>
        <w:t>，</w:t>
      </w:r>
      <w:r>
        <w:rPr>
          <w:rFonts w:ascii="Arial Narrow" w:hAnsi="Arial Narrow" w:eastAsia="仿宋_GB2312" w:cs="Arial"/>
          <w:sz w:val="30"/>
          <w:szCs w:val="30"/>
        </w:rPr>
        <w:t>服务国家重点战略</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（三）竞赛内容对应相关职业岗位或岗位群、体现专业核心能力与核心知识、涵盖丰富的专业知识与专业技能点</w:t>
      </w:r>
      <w:r>
        <w:rPr>
          <w:rFonts w:hint="eastAsia"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（四）竞赛平台成熟。</w:t>
      </w:r>
      <w:r>
        <w:rPr>
          <w:rFonts w:ascii="Arial Narrow" w:hAnsi="Arial Narrow" w:eastAsia="仿宋_GB2312"/>
          <w:sz w:val="30"/>
          <w:szCs w:val="30"/>
        </w:rPr>
        <w:t>根据行业特点，赛项选择相对先进、通用性强、社会保有量高的设备与软件</w:t>
      </w:r>
      <w:r>
        <w:rPr>
          <w:rFonts w:ascii="Arial Narrow" w:hAnsi="Arial Narrow" w:eastAsia="仿宋_GB2312" w:cs="Arial"/>
          <w:sz w:val="30"/>
          <w:szCs w:val="30"/>
        </w:rPr>
        <w:t>。</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五、赛项方案的特色与创新点</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应在竞赛内容选择、竞赛过程安排、竞赛结果评判、竞赛资源转化等方面形成赛项的特色与创新点。</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六、竞赛内容简介（须附英文对照简介）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概述竞赛内容，侧重于比赛涉及的核心技能</w:t>
      </w:r>
      <w:r>
        <w:rPr>
          <w:rFonts w:hint="eastAsia" w:ascii="仿宋_GB2312" w:hAnsi="Arial Narrow" w:eastAsia="仿宋_GB2312"/>
          <w:sz w:val="30"/>
          <w:szCs w:val="30"/>
        </w:rPr>
        <w:t>和职业素养</w:t>
      </w:r>
      <w:r>
        <w:rPr>
          <w:rFonts w:ascii="Arial Narrow" w:hAnsi="Arial Narrow" w:eastAsia="仿宋_GB2312" w:cs="Arial"/>
          <w:sz w:val="30"/>
          <w:szCs w:val="30"/>
        </w:rPr>
        <w:t>（不多于500字）。</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七、竞赛方式（含组队要求、是否邀请境外代表队参赛）</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竞赛方式应明确是团体赛还是个人赛。组队方式应参考《全国职业院校技能大赛参赛报名办法》的有关要求。</w:t>
      </w:r>
      <w:r>
        <w:rPr>
          <w:rFonts w:hint="eastAsia" w:ascii="Arial Narrow" w:hAnsi="Arial Narrow" w:eastAsia="仿宋_GB2312" w:cs="Arial"/>
          <w:b/>
          <w:bCs/>
          <w:sz w:val="30"/>
          <w:szCs w:val="30"/>
        </w:rPr>
        <w:t>不得出现参赛名额分配的事项。</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八、竞赛时间安排与流程</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应用表格或流程图简洁、明确地说明竞赛日程与流程安排。</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九、竞赛试题</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申报赛项应提供样卷。</w:t>
      </w:r>
      <w:r>
        <w:rPr>
          <w:rFonts w:hint="eastAsia" w:ascii="仿宋_GB2312" w:hAnsi="Arial Narrow" w:eastAsia="仿宋_GB2312"/>
          <w:sz w:val="30"/>
          <w:szCs w:val="30"/>
        </w:rPr>
        <w:t>举办两年及以上赛项应有赛题库，在申报方案中应明确赛题库中有多少套</w:t>
      </w:r>
      <w:r>
        <w:rPr>
          <w:rFonts w:ascii="仿宋_GB2312" w:hAnsi="Arial Narrow" w:eastAsia="仿宋_GB2312"/>
          <w:sz w:val="30"/>
          <w:szCs w:val="30"/>
        </w:rPr>
        <w:t>竞赛</w:t>
      </w:r>
      <w:r>
        <w:rPr>
          <w:rFonts w:hint="eastAsia" w:ascii="仿宋_GB2312" w:hAnsi="Arial Narrow" w:eastAsia="仿宋_GB2312"/>
          <w:sz w:val="30"/>
          <w:szCs w:val="30"/>
        </w:rPr>
        <w:t>赛卷（各套赛卷的重复率不得超过50%）。</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十、评分标准制定原则、评分方法、评分细则</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照《全国职业院校技能大赛成绩管理办法》的相关要求，根据申报赛项自身的特点，选定具有较强操作性的评分方法，编制评分细则。</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十一、奖项设置</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照执行《全国职业院校技能大赛</w:t>
      </w:r>
      <w:r>
        <w:rPr>
          <w:rFonts w:hint="eastAsia" w:ascii="Arial Narrow" w:hAnsi="Arial Narrow" w:eastAsia="仿宋_GB2312" w:cs="Arial"/>
          <w:sz w:val="30"/>
          <w:szCs w:val="30"/>
        </w:rPr>
        <w:t>奖惩办法</w:t>
      </w:r>
      <w:r>
        <w:rPr>
          <w:rFonts w:ascii="Arial Narrow" w:hAnsi="Arial Narrow" w:eastAsia="仿宋_GB2312" w:cs="Arial"/>
          <w:sz w:val="30"/>
          <w:szCs w:val="30"/>
        </w:rPr>
        <w:t>》的有关规定。</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十二、技术规范</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照《全国职业院校技能大赛赛项规程编制要求》，列出竞赛内容涉及技术规范的全部信息，包括相关的专业教育教学要求，行业、职业技术标准等。</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十三、建议使用的比赛器材、技术平台和场地要求</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提供赛项所需的技术平台，包括参考硬件和软件信息、参考机器设备信息、参考工具器具信息等。</w:t>
      </w:r>
      <w:r>
        <w:rPr>
          <w:rFonts w:hint="eastAsia" w:ascii="Arial Narrow" w:hAnsi="Arial Narrow" w:eastAsia="仿宋_GB2312" w:cs="Arial"/>
          <w:b/>
          <w:bCs/>
          <w:sz w:val="30"/>
          <w:szCs w:val="30"/>
        </w:rPr>
        <w:t>不得出现企业名称。</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要对竞赛赛场环境、赛位设置、单位赛位大小、安全防范措施等，描述具体、明确。</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十四、安全保障</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照《全国职业院校技能大赛安全管理规定》的有关要求，依据申报赛项自身特点，明确所需的安全保障措施。</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十五、经费概算</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照《全国职业院校技能大赛经费管理</w:t>
      </w:r>
      <w:r>
        <w:rPr>
          <w:rFonts w:hint="eastAsia" w:ascii="Arial Narrow" w:hAnsi="Arial Narrow" w:eastAsia="仿宋_GB2312" w:cs="Arial"/>
          <w:sz w:val="30"/>
          <w:szCs w:val="30"/>
        </w:rPr>
        <w:t>暂行办法</w:t>
      </w:r>
      <w:r>
        <w:rPr>
          <w:rFonts w:ascii="Arial Narrow" w:hAnsi="Arial Narrow" w:eastAsia="仿宋_GB2312" w:cs="Arial"/>
          <w:sz w:val="30"/>
          <w:szCs w:val="30"/>
        </w:rPr>
        <w:t>》的有关要求，制定赛项经费概算。</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十六、比赛组织与管理</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照《全国职业院校技能大赛组织机构与职能分工》《全国职业院校技能大赛赛项设备与设施管理办法》《全国职业院校技能大赛赛项监督与仲裁管理办法》等，明确主要组织单位、协办单位的任务分工</w:t>
      </w:r>
      <w:r>
        <w:rPr>
          <w:rFonts w:hint="eastAsia" w:ascii="Arial Narrow" w:hAnsi="Arial Narrow" w:eastAsia="仿宋_GB2312" w:cs="Arial"/>
          <w:sz w:val="30"/>
          <w:szCs w:val="30"/>
        </w:rPr>
        <w:t>和</w:t>
      </w:r>
      <w:r>
        <w:rPr>
          <w:rFonts w:ascii="Arial Narrow" w:hAnsi="Arial Narrow" w:eastAsia="仿宋_GB2312" w:cs="Arial"/>
          <w:sz w:val="30"/>
          <w:szCs w:val="30"/>
        </w:rPr>
        <w:t>各单位工作职责，制定操作性强的赛项竞赛组织与管理方案。</w:t>
      </w: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十七、教学资源转化建设方案</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照《全国职业院校技能大赛赛项资源转化工作办法》的有关要求，制定赛项赛后教学资源转化方案。</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十八、筹备工作进度时间表</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依据赛项筹备工作，制定筹备工作时间进度表。</w:t>
      </w:r>
    </w:p>
    <w:p>
      <w:pPr>
        <w:snapToGrid w:val="0"/>
        <w:spacing w:line="560" w:lineRule="exact"/>
        <w:ind w:firstLine="600" w:firstLineChars="200"/>
        <w:rPr>
          <w:rFonts w:ascii="黑体" w:hAnsi="黑体" w:eastAsia="黑体" w:cs="黑体"/>
          <w:bCs/>
          <w:sz w:val="30"/>
          <w:szCs w:val="30"/>
        </w:rPr>
      </w:pPr>
      <w:r>
        <w:rPr>
          <w:rFonts w:hint="eastAsia" w:ascii="黑体" w:hAnsi="黑体" w:eastAsia="黑体" w:cs="黑体"/>
          <w:bCs/>
          <w:sz w:val="30"/>
          <w:szCs w:val="30"/>
        </w:rPr>
        <w:t>十九、裁判人员建议</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按</w:t>
      </w:r>
      <w:r>
        <w:rPr>
          <w:rFonts w:ascii="Arial Narrow" w:hAnsi="Arial Narrow" w:eastAsia="仿宋_GB2312" w:cs="Arial"/>
          <w:sz w:val="30"/>
          <w:szCs w:val="30"/>
        </w:rPr>
        <w:t>照《全国职业院校技能大赛专家和裁判工作管理办法》的有关要求，详细列出赛项所需现场裁判和评分裁判的具体要求。</w:t>
      </w:r>
    </w:p>
    <w:tbl>
      <w:tblPr>
        <w:tblStyle w:val="8"/>
        <w:tblpPr w:leftFromText="180" w:rightFromText="180" w:vertAnchor="text" w:horzAnchor="margin" w:tblpXSpec="center" w:tblpY="8"/>
        <w:tblW w:w="85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725"/>
        <w:gridCol w:w="1665"/>
        <w:gridCol w:w="1485"/>
        <w:gridCol w:w="2048"/>
        <w:gridCol w:w="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序号</w:t>
            </w:r>
          </w:p>
        </w:tc>
        <w:tc>
          <w:tcPr>
            <w:tcW w:w="1725"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专业技术方向</w:t>
            </w:r>
          </w:p>
        </w:tc>
        <w:tc>
          <w:tcPr>
            <w:tcW w:w="1665"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知识能力要求</w:t>
            </w:r>
          </w:p>
        </w:tc>
        <w:tc>
          <w:tcPr>
            <w:tcW w:w="1485"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执裁、教学、工作经历</w:t>
            </w:r>
          </w:p>
        </w:tc>
        <w:tc>
          <w:tcPr>
            <w:tcW w:w="2048"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专业技术职称</w:t>
            </w:r>
          </w:p>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（职业资格等级）</w:t>
            </w:r>
          </w:p>
        </w:tc>
        <w:tc>
          <w:tcPr>
            <w:tcW w:w="779" w:type="dxa"/>
            <w:tcBorders>
              <w:top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ascii="仿宋_GB2312" w:hAnsi="仿宋" w:eastAsia="仿宋_GB2312" w:cs="Arial"/>
                <w:b/>
                <w:color w:val="000000"/>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vAlign w:val="center"/>
          </w:tcPr>
          <w:p>
            <w:pPr>
              <w:adjustRightInd w:val="0"/>
              <w:snapToGrid w:val="0"/>
              <w:jc w:val="center"/>
              <w:rPr>
                <w:rFonts w:ascii="Arial Narrow" w:hAnsi="Arial Narrow" w:eastAsia="仿宋_GB2312"/>
                <w:sz w:val="24"/>
              </w:rPr>
            </w:pPr>
          </w:p>
        </w:tc>
        <w:tc>
          <w:tcPr>
            <w:tcW w:w="1725" w:type="dxa"/>
            <w:vAlign w:val="center"/>
          </w:tcPr>
          <w:p>
            <w:pPr>
              <w:adjustRightInd w:val="0"/>
              <w:snapToGrid w:val="0"/>
              <w:rPr>
                <w:rFonts w:ascii="Arial Narrow" w:hAnsi="Arial Narrow" w:eastAsia="仿宋_GB2312"/>
                <w:sz w:val="24"/>
              </w:rPr>
            </w:pPr>
          </w:p>
        </w:tc>
        <w:tc>
          <w:tcPr>
            <w:tcW w:w="1665" w:type="dxa"/>
          </w:tcPr>
          <w:p>
            <w:pPr>
              <w:adjustRightInd w:val="0"/>
              <w:snapToGrid w:val="0"/>
              <w:jc w:val="center"/>
              <w:rPr>
                <w:rFonts w:ascii="Arial Narrow" w:hAnsi="Arial Narrow" w:eastAsia="仿宋_GB2312"/>
                <w:sz w:val="24"/>
              </w:rPr>
            </w:pPr>
          </w:p>
        </w:tc>
        <w:tc>
          <w:tcPr>
            <w:tcW w:w="1485" w:type="dxa"/>
            <w:vAlign w:val="center"/>
          </w:tcPr>
          <w:p>
            <w:pPr>
              <w:adjustRightInd w:val="0"/>
              <w:snapToGrid w:val="0"/>
              <w:jc w:val="center"/>
              <w:rPr>
                <w:rFonts w:ascii="Arial Narrow" w:hAnsi="Arial Narrow" w:eastAsia="仿宋_GB2312"/>
                <w:sz w:val="24"/>
              </w:rPr>
            </w:pPr>
          </w:p>
        </w:tc>
        <w:tc>
          <w:tcPr>
            <w:tcW w:w="2048" w:type="dxa"/>
          </w:tcPr>
          <w:p>
            <w:pPr>
              <w:adjustRightInd w:val="0"/>
              <w:snapToGrid w:val="0"/>
              <w:jc w:val="center"/>
              <w:rPr>
                <w:rFonts w:ascii="Arial Narrow" w:hAnsi="Arial Narrow" w:eastAsia="仿宋_GB2312"/>
                <w:sz w:val="24"/>
              </w:rPr>
            </w:pPr>
          </w:p>
        </w:tc>
        <w:tc>
          <w:tcPr>
            <w:tcW w:w="779" w:type="dxa"/>
          </w:tcPr>
          <w:p>
            <w:pPr>
              <w:adjustRightInd w:val="0"/>
              <w:snapToGrid w:val="0"/>
              <w:jc w:val="center"/>
              <w:rPr>
                <w:rFonts w:ascii="Arial Narrow" w:hAnsi="Arial Narrow"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02" w:type="dxa"/>
            <w:tcBorders>
              <w:bottom w:val="single" w:color="auto" w:sz="8" w:space="0"/>
            </w:tcBorders>
            <w:vAlign w:val="center"/>
          </w:tcPr>
          <w:p>
            <w:pPr>
              <w:adjustRightInd w:val="0"/>
              <w:snapToGrid w:val="0"/>
              <w:jc w:val="center"/>
              <w:rPr>
                <w:rFonts w:ascii="Arial Narrow" w:hAnsi="Arial Narrow" w:eastAsia="仿宋_GB2312"/>
                <w:sz w:val="24"/>
              </w:rPr>
            </w:pPr>
            <w:r>
              <w:rPr>
                <w:rFonts w:ascii="仿宋_GB2312" w:hAnsi="仿宋" w:eastAsia="仿宋_GB2312" w:cs="Arial"/>
                <w:b/>
                <w:color w:val="000000"/>
                <w:sz w:val="24"/>
                <w:szCs w:val="24"/>
              </w:rPr>
              <w:t>裁判总人数</w:t>
            </w:r>
          </w:p>
        </w:tc>
        <w:tc>
          <w:tcPr>
            <w:tcW w:w="7702" w:type="dxa"/>
            <w:gridSpan w:val="5"/>
            <w:tcBorders>
              <w:bottom w:val="single" w:color="auto" w:sz="8" w:space="0"/>
            </w:tcBorders>
          </w:tcPr>
          <w:p>
            <w:pPr>
              <w:adjustRightInd w:val="0"/>
              <w:snapToGrid w:val="0"/>
              <w:jc w:val="center"/>
              <w:rPr>
                <w:rFonts w:ascii="Arial Narrow" w:hAnsi="Arial Narrow" w:eastAsia="仿宋_GB2312"/>
                <w:sz w:val="24"/>
              </w:rPr>
            </w:pPr>
          </w:p>
        </w:tc>
      </w:tr>
    </w:tbl>
    <w:p>
      <w:pPr>
        <w:snapToGrid w:val="0"/>
        <w:spacing w:line="560" w:lineRule="exact"/>
        <w:ind w:firstLine="600" w:firstLineChars="200"/>
        <w:rPr>
          <w:rFonts w:ascii="Arial Narrow" w:hAnsi="Arial Narrow" w:eastAsia="仿宋_GB2312" w:cs="Arial"/>
          <w:b/>
          <w:sz w:val="30"/>
          <w:szCs w:val="30"/>
        </w:rPr>
      </w:pPr>
      <w:r>
        <w:rPr>
          <w:rFonts w:hint="eastAsia" w:ascii="黑体" w:hAnsi="黑体" w:eastAsia="黑体" w:cs="黑体"/>
          <w:bCs/>
          <w:sz w:val="30"/>
          <w:szCs w:val="30"/>
        </w:rPr>
        <w:t>二十、赛题公开承诺</w:t>
      </w:r>
    </w:p>
    <w:p>
      <w:pPr>
        <w:snapToGrid w:val="0"/>
        <w:spacing w:line="560" w:lineRule="exact"/>
        <w:ind w:firstLine="600" w:firstLineChars="200"/>
        <w:rPr>
          <w:rFonts w:ascii="黑体" w:hAnsi="黑体" w:eastAsia="黑体" w:cs="黑体"/>
          <w:b/>
          <w:sz w:val="30"/>
          <w:szCs w:val="30"/>
        </w:rPr>
      </w:pPr>
      <w:r>
        <w:rPr>
          <w:rFonts w:hint="eastAsia" w:ascii="仿宋_GB2312" w:eastAsia="仿宋_GB2312"/>
          <w:sz w:val="30"/>
          <w:szCs w:val="30"/>
        </w:rPr>
        <w:t>承诺保证于开赛1个月前在大赛网络信息发布平台上（www.chinaskills-jsw.org)公开全部赛题。</w:t>
      </w:r>
    </w:p>
    <w:p>
      <w:pPr>
        <w:snapToGrid w:val="0"/>
        <w:spacing w:line="560" w:lineRule="exact"/>
        <w:ind w:firstLine="600" w:firstLineChars="200"/>
        <w:rPr>
          <w:rFonts w:ascii="黑体" w:hAnsi="黑体" w:eastAsia="黑体" w:cs="黑体"/>
          <w:bCs/>
          <w:sz w:val="30"/>
          <w:szCs w:val="30"/>
        </w:rPr>
      </w:pPr>
    </w:p>
    <w:p>
      <w:pPr>
        <w:snapToGrid w:val="0"/>
        <w:spacing w:line="560" w:lineRule="exact"/>
        <w:ind w:firstLine="600" w:firstLineChars="200"/>
        <w:rPr>
          <w:rFonts w:ascii="Arial Narrow" w:hAnsi="Arial Narrow" w:eastAsia="仿宋_GB2312" w:cs="Arial"/>
          <w:bCs/>
          <w:sz w:val="30"/>
          <w:szCs w:val="30"/>
        </w:rPr>
      </w:pPr>
      <w:r>
        <w:rPr>
          <w:rFonts w:hint="eastAsia" w:ascii="黑体" w:hAnsi="黑体" w:eastAsia="黑体" w:cs="黑体"/>
          <w:bCs/>
          <w:sz w:val="30"/>
          <w:szCs w:val="30"/>
        </w:rPr>
        <w:t>二十一、其他</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申报赛项未尽内容的描述或说明，也可附页补充。</w:t>
      </w:r>
    </w:p>
    <w:p>
      <w:pPr>
        <w:spacing w:line="560" w:lineRule="exact"/>
        <w:ind w:firstLine="600" w:firstLineChars="200"/>
      </w:pPr>
      <w:r>
        <w:rPr>
          <w:rFonts w:ascii="Arial Narrow" w:hAnsi="Arial Narrow" w:eastAsia="仿宋_GB2312" w:cs="Arial"/>
          <w:sz w:val="30"/>
          <w:szCs w:val="30"/>
        </w:rPr>
        <w:t>申报单位应明确专职联络人员及其手机号码、邮箱等联系方式。专职联络人员应具有强烈的工作责任感和良好的保密意识。</w:t>
      </w:r>
    </w:p>
    <w:p>
      <w:pPr>
        <w:spacing w:line="560" w:lineRule="exact"/>
      </w:pPr>
    </w:p>
    <w:p>
      <w:pPr>
        <w:widowControl/>
        <w:jc w:val="left"/>
        <w:rPr>
          <w:rFonts w:ascii="仿宋_GB2312" w:hAnsi="仿宋_GB2312" w:eastAsia="仿宋_GB2312" w:cs="仿宋_GB2312"/>
          <w:sz w:val="30"/>
          <w:szCs w:val="30"/>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7" o:spid="_x0000_s103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ascii="仿宋_GB2312" w:eastAsia="仿宋_GB2312"/>
          <w:sz w:val="22"/>
          <w:szCs w:val="22"/>
        </w:rPr>
      </w:pPr>
      <w:r>
        <w:rPr>
          <w:rFonts w:ascii="仿宋_GB2312" w:eastAsia="仿宋_GB2312"/>
          <w:sz w:val="22"/>
          <w:szCs w:val="22"/>
        </w:rPr>
        <w:t>1</w:t>
      </w:r>
      <w:r>
        <w:rPr>
          <w:rFonts w:hint="eastAsia" w:ascii="仿宋_GB2312" w:eastAsia="仿宋_GB2312"/>
          <w:sz w:val="22"/>
          <w:szCs w:val="22"/>
        </w:rPr>
        <w:t xml:space="preserve"> 页面布局：默认页边距</w:t>
      </w:r>
    </w:p>
    <w:p>
      <w:pPr>
        <w:pStyle w:val="6"/>
        <w:ind w:firstLine="220" w:firstLineChars="100"/>
        <w:rPr>
          <w:rFonts w:ascii="仿宋_GB2312" w:eastAsia="仿宋_GB2312"/>
          <w:sz w:val="22"/>
          <w:szCs w:val="22"/>
        </w:rPr>
      </w:pPr>
      <w:r>
        <w:rPr>
          <w:rFonts w:hint="eastAsia" w:ascii="仿宋_GB2312" w:eastAsia="仿宋_GB2312"/>
          <w:sz w:val="22"/>
          <w:szCs w:val="22"/>
        </w:rPr>
        <w:t>标题：小</w:t>
      </w:r>
      <w:r>
        <w:rPr>
          <w:rFonts w:ascii="仿宋_GB2312" w:eastAsia="仿宋_GB2312"/>
          <w:sz w:val="22"/>
          <w:szCs w:val="22"/>
        </w:rPr>
        <w:t>2</w:t>
      </w:r>
      <w:r>
        <w:rPr>
          <w:rFonts w:hint="eastAsia" w:ascii="仿宋_GB2312" w:eastAsia="仿宋_GB2312"/>
          <w:sz w:val="22"/>
          <w:szCs w:val="22"/>
        </w:rPr>
        <w:t>号，黑体加粗</w:t>
      </w:r>
    </w:p>
    <w:p>
      <w:pPr>
        <w:pStyle w:val="6"/>
        <w:ind w:left="210" w:leftChars="100"/>
        <w:rPr>
          <w:rFonts w:ascii="仿宋_GB2312" w:eastAsia="仿宋_GB2312"/>
          <w:sz w:val="22"/>
          <w:szCs w:val="22"/>
        </w:rPr>
      </w:pPr>
      <w:r>
        <w:rPr>
          <w:rFonts w:hint="eastAsia" w:ascii="仿宋_GB2312" w:eastAsia="仿宋_GB2312"/>
          <w:sz w:val="22"/>
          <w:szCs w:val="22"/>
        </w:rPr>
        <w:t>正文：小</w:t>
      </w:r>
      <w:r>
        <w:rPr>
          <w:rFonts w:ascii="仿宋_GB2312" w:eastAsia="仿宋_GB2312"/>
          <w:sz w:val="22"/>
          <w:szCs w:val="22"/>
        </w:rPr>
        <w:t>3</w:t>
      </w:r>
      <w:r>
        <w:rPr>
          <w:rFonts w:hint="eastAsia" w:ascii="仿宋_GB2312" w:eastAsia="仿宋_GB2312"/>
          <w:sz w:val="22"/>
          <w:szCs w:val="22"/>
        </w:rPr>
        <w:t>号，仿宋</w:t>
      </w:r>
      <w:r>
        <w:rPr>
          <w:rFonts w:ascii="仿宋_GB2312" w:eastAsia="仿宋_GB2312"/>
          <w:sz w:val="22"/>
          <w:szCs w:val="22"/>
        </w:rPr>
        <w:t>_GB2312</w:t>
      </w:r>
      <w:r>
        <w:rPr>
          <w:rFonts w:hint="eastAsia" w:ascii="仿宋_GB2312" w:eastAsia="仿宋_GB2312"/>
          <w:sz w:val="22"/>
          <w:szCs w:val="22"/>
        </w:rPr>
        <w:t>，</w:t>
      </w:r>
      <w:r>
        <w:rPr>
          <w:rFonts w:ascii="仿宋_GB2312" w:eastAsia="仿宋_GB2312"/>
          <w:sz w:val="22"/>
          <w:szCs w:val="22"/>
        </w:rPr>
        <w:t>28</w:t>
      </w:r>
      <w:r>
        <w:rPr>
          <w:rFonts w:hint="eastAsia" w:ascii="仿宋_GB2312" w:eastAsia="仿宋_GB2312"/>
          <w:sz w:val="22"/>
          <w:szCs w:val="22"/>
        </w:rPr>
        <w:t>磅行间距。结构次序数依次用“一、”“（一）”“</w:t>
      </w:r>
      <w:r>
        <w:rPr>
          <w:rFonts w:ascii="仿宋_GB2312" w:eastAsia="仿宋_GB2312"/>
          <w:sz w:val="22"/>
          <w:szCs w:val="22"/>
        </w:rPr>
        <w:t>1.</w:t>
      </w:r>
      <w:r>
        <w:rPr>
          <w:rFonts w:hint="eastAsia" w:ascii="仿宋_GB2312" w:eastAsia="仿宋_GB2312"/>
          <w:sz w:val="22"/>
          <w:szCs w:val="22"/>
        </w:rPr>
        <w:t>”“（</w:t>
      </w:r>
      <w:r>
        <w:rPr>
          <w:rFonts w:ascii="仿宋_GB2312" w:eastAsia="仿宋_GB2312"/>
          <w:sz w:val="22"/>
          <w:szCs w:val="22"/>
        </w:rPr>
        <w:t>1</w:t>
      </w:r>
      <w:r>
        <w:rPr>
          <w:rFonts w:hint="eastAsia" w:ascii="仿宋_GB2312" w:eastAsia="仿宋_GB2312"/>
          <w:sz w:val="22"/>
          <w:szCs w:val="22"/>
        </w:rPr>
        <w:t>）”“①”。</w:t>
      </w:r>
    </w:p>
    <w:p>
      <w:pPr>
        <w:pStyle w:val="6"/>
        <w:ind w:firstLine="220" w:firstLineChars="100"/>
        <w:rPr>
          <w:rFonts w:ascii="仿宋_GB2312" w:eastAsia="仿宋_GB2312"/>
          <w:sz w:val="22"/>
          <w:szCs w:val="22"/>
        </w:rPr>
      </w:pPr>
      <w:r>
        <w:rPr>
          <w:rFonts w:hint="eastAsia" w:ascii="仿宋_GB2312" w:eastAsia="仿宋_GB2312"/>
          <w:sz w:val="22"/>
          <w:szCs w:val="22"/>
        </w:rPr>
        <w:t>文中表格：小</w:t>
      </w:r>
      <w:r>
        <w:rPr>
          <w:rFonts w:ascii="仿宋_GB2312" w:eastAsia="仿宋_GB2312"/>
          <w:sz w:val="22"/>
          <w:szCs w:val="22"/>
        </w:rPr>
        <w:t>4</w:t>
      </w:r>
      <w:r>
        <w:rPr>
          <w:rFonts w:hint="eastAsia" w:ascii="仿宋_GB2312" w:eastAsia="仿宋_GB2312"/>
          <w:sz w:val="22"/>
          <w:szCs w:val="22"/>
        </w:rPr>
        <w:t>号宋体，单倍行间距。表头字体小</w:t>
      </w:r>
      <w:r>
        <w:rPr>
          <w:rFonts w:ascii="仿宋_GB2312" w:eastAsia="仿宋_GB2312"/>
          <w:sz w:val="22"/>
          <w:szCs w:val="22"/>
        </w:rPr>
        <w:t>4</w:t>
      </w:r>
      <w:r>
        <w:rPr>
          <w:rFonts w:hint="eastAsia" w:ascii="仿宋_GB2312" w:eastAsia="仿宋_GB2312"/>
          <w:sz w:val="22"/>
          <w:szCs w:val="22"/>
        </w:rPr>
        <w:t>号宋体加粗。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87BCB"/>
    <w:rsid w:val="00075535"/>
    <w:rsid w:val="000B38CA"/>
    <w:rsid w:val="000E009F"/>
    <w:rsid w:val="001414A1"/>
    <w:rsid w:val="00145D53"/>
    <w:rsid w:val="00154B06"/>
    <w:rsid w:val="00186CD2"/>
    <w:rsid w:val="001B494F"/>
    <w:rsid w:val="004C2D4E"/>
    <w:rsid w:val="004D3E9E"/>
    <w:rsid w:val="00500796"/>
    <w:rsid w:val="00512591"/>
    <w:rsid w:val="005319E5"/>
    <w:rsid w:val="005D5670"/>
    <w:rsid w:val="00604F52"/>
    <w:rsid w:val="00605C59"/>
    <w:rsid w:val="00613086"/>
    <w:rsid w:val="00671D81"/>
    <w:rsid w:val="00806787"/>
    <w:rsid w:val="00834614"/>
    <w:rsid w:val="00840A25"/>
    <w:rsid w:val="00A25153"/>
    <w:rsid w:val="00A97BE3"/>
    <w:rsid w:val="00B21486"/>
    <w:rsid w:val="00B36FC6"/>
    <w:rsid w:val="00BB0CEC"/>
    <w:rsid w:val="00BD1FDD"/>
    <w:rsid w:val="00C12D0B"/>
    <w:rsid w:val="00C31BED"/>
    <w:rsid w:val="00CA5C4F"/>
    <w:rsid w:val="00CB1AAB"/>
    <w:rsid w:val="00CC33FF"/>
    <w:rsid w:val="00CC7BAF"/>
    <w:rsid w:val="00D34EA7"/>
    <w:rsid w:val="00D41A68"/>
    <w:rsid w:val="00D56CA6"/>
    <w:rsid w:val="00D87BCB"/>
    <w:rsid w:val="00DB5838"/>
    <w:rsid w:val="00E53DE6"/>
    <w:rsid w:val="00E62035"/>
    <w:rsid w:val="00E77FEA"/>
    <w:rsid w:val="00E93B77"/>
    <w:rsid w:val="00F83574"/>
    <w:rsid w:val="00FC537A"/>
    <w:rsid w:val="03D41790"/>
    <w:rsid w:val="03F57598"/>
    <w:rsid w:val="076A4BB5"/>
    <w:rsid w:val="08460094"/>
    <w:rsid w:val="0B17504D"/>
    <w:rsid w:val="0CB9606C"/>
    <w:rsid w:val="0E8622D9"/>
    <w:rsid w:val="11F16C88"/>
    <w:rsid w:val="13FE6876"/>
    <w:rsid w:val="152B20E9"/>
    <w:rsid w:val="15A73F62"/>
    <w:rsid w:val="1674727F"/>
    <w:rsid w:val="16880828"/>
    <w:rsid w:val="1688197E"/>
    <w:rsid w:val="18E939FF"/>
    <w:rsid w:val="191319CE"/>
    <w:rsid w:val="1BC40D77"/>
    <w:rsid w:val="1CF07509"/>
    <w:rsid w:val="1CF45D9D"/>
    <w:rsid w:val="1DF12C37"/>
    <w:rsid w:val="21910808"/>
    <w:rsid w:val="22917128"/>
    <w:rsid w:val="258C4D0B"/>
    <w:rsid w:val="25EF44D4"/>
    <w:rsid w:val="26D77E88"/>
    <w:rsid w:val="28676E92"/>
    <w:rsid w:val="29070614"/>
    <w:rsid w:val="2B1178D0"/>
    <w:rsid w:val="2D32524F"/>
    <w:rsid w:val="2DA11C80"/>
    <w:rsid w:val="2E0E5EB7"/>
    <w:rsid w:val="2E101F6E"/>
    <w:rsid w:val="2E96167C"/>
    <w:rsid w:val="2E9A7F08"/>
    <w:rsid w:val="2FE4003C"/>
    <w:rsid w:val="315F4F8C"/>
    <w:rsid w:val="32E130C1"/>
    <w:rsid w:val="34D121A5"/>
    <w:rsid w:val="34E11C2A"/>
    <w:rsid w:val="35ED00B7"/>
    <w:rsid w:val="361D1978"/>
    <w:rsid w:val="36B34015"/>
    <w:rsid w:val="36B92553"/>
    <w:rsid w:val="37143554"/>
    <w:rsid w:val="382F3E26"/>
    <w:rsid w:val="38DE5D54"/>
    <w:rsid w:val="3A1A5F9C"/>
    <w:rsid w:val="3B23304E"/>
    <w:rsid w:val="3B971BEB"/>
    <w:rsid w:val="3BDC6FA3"/>
    <w:rsid w:val="3D73568D"/>
    <w:rsid w:val="40B01A2C"/>
    <w:rsid w:val="411E3A28"/>
    <w:rsid w:val="44860E0C"/>
    <w:rsid w:val="456B0CA1"/>
    <w:rsid w:val="46596C0E"/>
    <w:rsid w:val="467721CD"/>
    <w:rsid w:val="4735483C"/>
    <w:rsid w:val="47E31CC0"/>
    <w:rsid w:val="4855430D"/>
    <w:rsid w:val="492D3213"/>
    <w:rsid w:val="4AF54B15"/>
    <w:rsid w:val="4C286968"/>
    <w:rsid w:val="4CAC7A71"/>
    <w:rsid w:val="4DC61A03"/>
    <w:rsid w:val="4E83764E"/>
    <w:rsid w:val="504424D9"/>
    <w:rsid w:val="50D028DD"/>
    <w:rsid w:val="5109601D"/>
    <w:rsid w:val="51B2795D"/>
    <w:rsid w:val="52405282"/>
    <w:rsid w:val="525E5612"/>
    <w:rsid w:val="546E3BF9"/>
    <w:rsid w:val="547672AC"/>
    <w:rsid w:val="565955C7"/>
    <w:rsid w:val="56E3772A"/>
    <w:rsid w:val="57BC3604"/>
    <w:rsid w:val="580C2B7C"/>
    <w:rsid w:val="597B2683"/>
    <w:rsid w:val="5A4C3938"/>
    <w:rsid w:val="5AA20EE9"/>
    <w:rsid w:val="5CC27E98"/>
    <w:rsid w:val="5D9A27BE"/>
    <w:rsid w:val="5DB5080F"/>
    <w:rsid w:val="5F575B0F"/>
    <w:rsid w:val="5F622785"/>
    <w:rsid w:val="612D6C5C"/>
    <w:rsid w:val="61D304B9"/>
    <w:rsid w:val="621472F6"/>
    <w:rsid w:val="63B6766D"/>
    <w:rsid w:val="63D15400"/>
    <w:rsid w:val="643A1E8E"/>
    <w:rsid w:val="64742C60"/>
    <w:rsid w:val="651146CF"/>
    <w:rsid w:val="66FF6D0E"/>
    <w:rsid w:val="67D376A9"/>
    <w:rsid w:val="6A1D0FA7"/>
    <w:rsid w:val="6DF47DE5"/>
    <w:rsid w:val="710E3923"/>
    <w:rsid w:val="726E5EA5"/>
    <w:rsid w:val="743A0886"/>
    <w:rsid w:val="74653B0B"/>
    <w:rsid w:val="759317CF"/>
    <w:rsid w:val="75E915C7"/>
    <w:rsid w:val="762A3306"/>
    <w:rsid w:val="780B5E0A"/>
    <w:rsid w:val="7828534A"/>
    <w:rsid w:val="7A8C5E23"/>
    <w:rsid w:val="7F6B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footnote reference"/>
    <w:qFormat/>
    <w:uiPriority w:val="0"/>
    <w:rPr>
      <w:rFonts w:cs="Times New Roman"/>
      <w:vertAlign w:val="superscript"/>
    </w:rPr>
  </w:style>
  <w:style w:type="character" w:customStyle="1" w:styleId="12">
    <w:name w:val="批注框文本 Char"/>
    <w:basedOn w:val="9"/>
    <w:link w:val="3"/>
    <w:qFormat/>
    <w:uiPriority w:val="0"/>
    <w:rPr>
      <w:rFonts w:ascii="Calibri" w:hAnsi="Calibri"/>
      <w:kern w:val="2"/>
      <w:sz w:val="18"/>
      <w:szCs w:val="18"/>
    </w:rPr>
  </w:style>
  <w:style w:type="character" w:customStyle="1" w:styleId="13">
    <w:name w:val="标题 1 Char"/>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3483</Words>
  <Characters>530</Characters>
  <Lines>4</Lines>
  <Paragraphs>8</Paragraphs>
  <TotalTime>1</TotalTime>
  <ScaleCrop>false</ScaleCrop>
  <LinksUpToDate>false</LinksUpToDate>
  <CharactersWithSpaces>4005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2019-07-22T01:58:00Z</dcterms:created>
  <dc:creator>Administrator</dc:creator>
  <cp:lastModifiedBy>超人陶</cp:lastModifiedBy>
  <cp:lastPrinted>2019-07-22T02:07:00Z</cp:lastPrinted>
  <dcterms:modified xsi:type="dcterms:W3CDTF">2019-07-23T06:42:45Z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